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0B2" w:rsidRPr="00BC0299" w:rsidRDefault="007B15B3" w:rsidP="00BC0299">
      <w:pPr>
        <w:jc w:val="center"/>
        <w:rPr>
          <w:rFonts w:asciiTheme="majorEastAsia" w:eastAsiaTheme="majorEastAsia" w:hAnsiTheme="majorEastAsia"/>
          <w:b/>
          <w:sz w:val="32"/>
          <w:szCs w:val="32"/>
        </w:rPr>
      </w:pPr>
      <w:r w:rsidRPr="00BC0299">
        <w:rPr>
          <w:rFonts w:asciiTheme="majorEastAsia" w:eastAsiaTheme="majorEastAsia" w:hAnsiTheme="majorEastAsia" w:hint="eastAsia"/>
          <w:b/>
          <w:sz w:val="32"/>
          <w:szCs w:val="32"/>
        </w:rPr>
        <w:t>广东财经大学</w:t>
      </w:r>
      <w:r w:rsidR="00BC0299" w:rsidRPr="007B15B3">
        <w:rPr>
          <w:rFonts w:asciiTheme="majorEastAsia" w:eastAsiaTheme="majorEastAsia" w:hAnsiTheme="majorEastAsia" w:cs="Times New Roman" w:hint="eastAsia"/>
          <w:b/>
          <w:color w:val="000000"/>
          <w:kern w:val="0"/>
          <w:sz w:val="32"/>
          <w:szCs w:val="32"/>
        </w:rPr>
        <w:t>数学与统计学院</w:t>
      </w:r>
    </w:p>
    <w:p w:rsidR="00A07645" w:rsidRDefault="008B70DF" w:rsidP="00A07645">
      <w:pPr>
        <w:widowControl/>
        <w:spacing w:before="100" w:beforeAutospacing="1" w:after="100" w:afterAutospacing="1"/>
        <w:ind w:firstLine="465"/>
        <w:jc w:val="left"/>
        <w:rPr>
          <w:rFonts w:ascii="宋体" w:eastAsia="宋体" w:hAnsi="宋体" w:cs="宋体" w:hint="eastAsia"/>
          <w:color w:val="07565D"/>
          <w:kern w:val="0"/>
          <w:szCs w:val="21"/>
        </w:rPr>
      </w:pPr>
      <w:r w:rsidRPr="008B70DF">
        <w:rPr>
          <w:rFonts w:ascii="宋体" w:eastAsia="宋体" w:hAnsi="宋体" w:cs="宋体"/>
          <w:color w:val="07565D"/>
          <w:kern w:val="0"/>
          <w:szCs w:val="21"/>
        </w:rPr>
        <w:t>广东财经大学始建于1983年，原名广东财经学院，1985年改名为广东商学院，2013年6月经教育部批准更名为广东财经大学。经过30年的发展，学校已建设成为全日制本科生、硕士生23000多人的省属重点建设院校，是广东和华南地区重要的经、管、法人才培养基地和科学研究基地。</w:t>
      </w:r>
    </w:p>
    <w:p w:rsidR="00A07645" w:rsidRDefault="008B70DF" w:rsidP="00A07645">
      <w:pPr>
        <w:widowControl/>
        <w:spacing w:before="100" w:beforeAutospacing="1" w:after="100" w:afterAutospacing="1"/>
        <w:ind w:firstLine="465"/>
        <w:jc w:val="left"/>
        <w:rPr>
          <w:rFonts w:ascii="宋体" w:eastAsia="宋体" w:hAnsi="宋体" w:cs="宋体" w:hint="eastAsia"/>
          <w:color w:val="07565D"/>
          <w:kern w:val="0"/>
          <w:szCs w:val="21"/>
        </w:rPr>
      </w:pPr>
      <w:r w:rsidRPr="008B70DF">
        <w:rPr>
          <w:rFonts w:ascii="宋体" w:eastAsia="宋体" w:hAnsi="宋体" w:cs="宋体"/>
          <w:color w:val="07565D"/>
          <w:kern w:val="0"/>
          <w:szCs w:val="21"/>
        </w:rPr>
        <w:t>学校有广州和三水两个校区，总占地面积2275亩，广州校区毗邻广州国际会展中心，三水校区位于风景秀丽的佛山市云东海旅游经济区。现有校舍70万平方米,教学科研仪器设备总值10166万元，图书367万册（其中纸质图书234万册）；自主建成各类数字化教学资源近900项；经济与管理实验教学中心是全国首批两个经管类国家级示范中心之一。</w:t>
      </w:r>
      <w:r w:rsidRPr="008B70DF">
        <w:rPr>
          <w:rFonts w:ascii="宋体" w:eastAsia="宋体" w:hAnsi="宋体" w:cs="宋体"/>
          <w:color w:val="07565D"/>
          <w:kern w:val="0"/>
          <w:szCs w:val="21"/>
        </w:rPr>
        <w:br/>
        <w:t>    学校已形成一支数量比较充足、素质较高、结构合理、富有活力的师资队伍。现有专任教师1181人，其中正高职称教师210人，副高职称教师342人，具有博士学位教师383人。享受国务院政府特殊津贴专家11人，教育部高等学校教学指导委员会委员3人、省学位委员会委员1人、省学科评议组成员3人；2人入选教育部新世纪优秀人才支持计划，1人入选财政部全国会计领军（后备）人才培养工程，17人次入选广东高校“千百十工程”省级培养对象；广东省、广州市“十大中青年法学家”各1人。</w:t>
      </w:r>
    </w:p>
    <w:p w:rsidR="00A07645" w:rsidRDefault="008B70DF" w:rsidP="00A07645">
      <w:pPr>
        <w:widowControl/>
        <w:spacing w:before="100" w:beforeAutospacing="1" w:after="100" w:afterAutospacing="1"/>
        <w:ind w:firstLine="465"/>
        <w:jc w:val="left"/>
        <w:rPr>
          <w:rFonts w:ascii="宋体" w:eastAsia="宋体" w:hAnsi="宋体" w:cs="宋体" w:hint="eastAsia"/>
          <w:color w:val="07565D"/>
          <w:kern w:val="0"/>
          <w:szCs w:val="21"/>
        </w:rPr>
      </w:pPr>
      <w:r w:rsidRPr="008B70DF">
        <w:rPr>
          <w:rFonts w:ascii="宋体" w:eastAsia="宋体" w:hAnsi="宋体" w:cs="宋体"/>
          <w:color w:val="07565D"/>
          <w:kern w:val="0"/>
          <w:szCs w:val="21"/>
        </w:rPr>
        <w:t xml:space="preserve">学校坚持以教学为中心，紧紧围绕“培养适应地方经济社会发展需要的应用型高等专门人才”的目标定位，以先进教育理念为指导，以素质教育改革为着眼点，以实验实践教学改革为突破口，以现代教育技术为支撑，积极推进“知识传授、能力培养、素质提升”三位一体的应用型人才培养模式创新，并形成自身特色。建有国家级特色专业5个，国家级人才培养模式创新实验区、国家级实验教学示范中心、国家大学生文化素质教育基地、国家级实践教学基地各1个，国家级教学团队1支，国家级精品课程1门、国家级双语示范课程2门，入选全国首批卓越法律人才培养基地。近10年毕业生总体就业率稳居全省高校前茅，其中本科生就业率连续十年保持在99%以上，研究生就业率2012年达100%。 </w:t>
      </w:r>
      <w:r w:rsidRPr="008B70DF">
        <w:rPr>
          <w:rFonts w:ascii="宋体" w:eastAsia="宋体" w:hAnsi="宋体" w:cs="宋体"/>
          <w:color w:val="07565D"/>
          <w:kern w:val="0"/>
          <w:szCs w:val="21"/>
        </w:rPr>
        <w:br/>
        <w:t>    学校坚持以学科建设为龙头，已建成经济学、管理学、法学为主体，经、管、法、文、理、工、艺等多学科协调发展，并具有一定特色和优势的学科体系。应用经济学、工商管理和法学3个一级学科是省级优势重点学科。有应用经济学、工商管理、法学、统计学、管理科学与工程、马克思主义理论等6个硕士学位授权一级学科点，覆盖了32 个硕士学位授权二级学科点，拥有工商管理（MBA）、法律（MJ）、金融（MF）、保险（MI）等4 个硕士专业学位授权点。经济学、管理学连续5年进入全国高校前20%优势学科行列，2011年法学进入全国高校前20%优势学科行列。</w:t>
      </w:r>
    </w:p>
    <w:p w:rsidR="00A07645" w:rsidRDefault="008B70DF" w:rsidP="00A07645">
      <w:pPr>
        <w:widowControl/>
        <w:spacing w:before="100" w:beforeAutospacing="1" w:after="100" w:afterAutospacing="1"/>
        <w:ind w:firstLine="465"/>
        <w:jc w:val="left"/>
        <w:rPr>
          <w:rFonts w:ascii="宋体" w:eastAsia="宋体" w:hAnsi="宋体" w:cs="宋体" w:hint="eastAsia"/>
          <w:color w:val="07565D"/>
          <w:kern w:val="0"/>
          <w:szCs w:val="21"/>
        </w:rPr>
      </w:pPr>
      <w:r w:rsidRPr="008B70DF">
        <w:rPr>
          <w:rFonts w:ascii="宋体" w:eastAsia="宋体" w:hAnsi="宋体" w:cs="宋体"/>
          <w:color w:val="07565D"/>
          <w:kern w:val="0"/>
          <w:szCs w:val="21"/>
        </w:rPr>
        <w:t>科研优秀成果逐步涌现。 近5年，教师承担国家级项目50项，省部级项目328项；在《中国社会科学》、《中国科学》、《管理世界》、《法学研究》等权威和核心期刊发表论文3450篇，被SCI、EI、ISTP三大检索收录200余篇；出版各类著作200余部，其中学术专著171部。2009年起，连续三年进入南京大学中国社会科学研究评价中心发布的全国高校CSSCI来源期刊发文统计百强榜，分别位列全国高校第68名、第76名和第78名，全国财经类院校第9名、第9名和第10名，广东高校第6名。《学报》为全国中文核心期刊、中国人文社会科学核心期刊、CSSCI扩展版来源期刊和全国百强社科学报。</w:t>
      </w:r>
    </w:p>
    <w:p w:rsidR="00A07645" w:rsidRDefault="008B70DF" w:rsidP="00A07645">
      <w:pPr>
        <w:widowControl/>
        <w:spacing w:before="100" w:beforeAutospacing="1" w:after="100" w:afterAutospacing="1"/>
        <w:ind w:firstLine="465"/>
        <w:jc w:val="left"/>
        <w:rPr>
          <w:rFonts w:ascii="宋体" w:eastAsia="宋体" w:hAnsi="宋体" w:cs="宋体" w:hint="eastAsia"/>
          <w:color w:val="07565D"/>
          <w:kern w:val="0"/>
          <w:szCs w:val="21"/>
        </w:rPr>
      </w:pPr>
      <w:r w:rsidRPr="008B70DF">
        <w:rPr>
          <w:rFonts w:ascii="宋体" w:eastAsia="宋体" w:hAnsi="宋体" w:cs="宋体"/>
          <w:color w:val="07565D"/>
          <w:kern w:val="0"/>
          <w:szCs w:val="21"/>
        </w:rPr>
        <w:t>学校高度重视开放办学。先后与美、英、法、澳、加等20多个国家和港澳台地区的近百所高等教育机构建立了友好关系，在合作办学、合作研究、师生交流和留学生教育等方面</w:t>
      </w:r>
      <w:r w:rsidRPr="008B70DF">
        <w:rPr>
          <w:rFonts w:ascii="宋体" w:eastAsia="宋体" w:hAnsi="宋体" w:cs="宋体"/>
          <w:color w:val="07565D"/>
          <w:kern w:val="0"/>
          <w:szCs w:val="21"/>
        </w:rPr>
        <w:lastRenderedPageBreak/>
        <w:t>开展全方位、多层次、宽领域的国际交流与合作。先后与政府和社会各界建立长期的合作关系，与广州市社科联共建“广州市现代物流与电子商务协同创新中心”，与广东省国税局、地税局共建校政协同创新平台“广东纳税服务研究中心”，与香港上市企业上海证大公司签约成立我国第一家关注微金融产业的协同创新中心——广东财经大学证大微金融研究协同创新中心；与广州市地税局共建全国首个校政合作的税务干部进修学院。</w:t>
      </w:r>
    </w:p>
    <w:p w:rsidR="007B15B3" w:rsidRPr="007B15B3" w:rsidRDefault="008B70DF" w:rsidP="00A07645">
      <w:pPr>
        <w:widowControl/>
        <w:spacing w:before="100" w:beforeAutospacing="1" w:after="100" w:afterAutospacing="1"/>
        <w:ind w:firstLine="465"/>
        <w:jc w:val="left"/>
        <w:rPr>
          <w:rFonts w:asciiTheme="minorEastAsia" w:hAnsiTheme="minorEastAsia" w:cs="宋体"/>
          <w:color w:val="000080"/>
          <w:kern w:val="0"/>
          <w:szCs w:val="21"/>
        </w:rPr>
      </w:pPr>
      <w:r w:rsidRPr="008B70DF">
        <w:rPr>
          <w:rFonts w:ascii="宋体" w:eastAsia="宋体" w:hAnsi="宋体" w:cs="宋体"/>
          <w:color w:val="07565D"/>
          <w:kern w:val="0"/>
          <w:szCs w:val="21"/>
        </w:rPr>
        <w:t>在新的发展时期，学校将继续秉承“厚德、励学、笃行、拓新”的校训，积极实践“人才立校、学术强校、服务兴校、特色优校”办学理念和“依法治校、民主治校、阳光治校”的治校方略，稳定规模，优化结构，构建平台，创新机制，突出财经特色，专注内涵发展，以“四重”（重点学科、重点人才、重点平台和重大科研项目）建设为抓手，不断提升办学综合实力，努力建设高水平有特色的财经大学。</w:t>
      </w:r>
    </w:p>
    <w:tbl>
      <w:tblPr>
        <w:tblW w:w="10069" w:type="dxa"/>
        <w:jc w:val="center"/>
        <w:tblInd w:w="1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709"/>
        <w:gridCol w:w="1802"/>
        <w:gridCol w:w="1641"/>
        <w:gridCol w:w="526"/>
        <w:gridCol w:w="993"/>
        <w:gridCol w:w="3584"/>
      </w:tblGrid>
      <w:tr w:rsidR="007B15B3" w:rsidRPr="007B15B3" w:rsidTr="007B15B3">
        <w:trPr>
          <w:trHeight w:val="593"/>
          <w:jc w:val="center"/>
        </w:trPr>
        <w:tc>
          <w:tcPr>
            <w:tcW w:w="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napToGrid w:val="0"/>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数学与统计学院</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napToGrid w:val="0"/>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N-1</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napToGrid w:val="0"/>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计算机技术、计算机软件或统计学</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napToGrid w:val="0"/>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数据库、数据分析或统计计算等</w:t>
            </w:r>
          </w:p>
        </w:tc>
        <w:tc>
          <w:tcPr>
            <w:tcW w:w="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napToGrid w:val="0"/>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博士研究生</w:t>
            </w:r>
          </w:p>
        </w:tc>
        <w:tc>
          <w:tcPr>
            <w:tcW w:w="3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napToGrid w:val="0"/>
              <w:spacing w:line="260" w:lineRule="exact"/>
              <w:jc w:val="left"/>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年龄</w:t>
            </w:r>
            <w:r w:rsidRPr="007B15B3">
              <w:rPr>
                <w:rFonts w:ascii="Times New Roman" w:eastAsia="仿宋_GB2312" w:hAnsi="Times New Roman" w:cs="Times New Roman" w:hint="eastAsia"/>
                <w:color w:val="000000"/>
                <w:kern w:val="0"/>
                <w:sz w:val="24"/>
                <w:szCs w:val="21"/>
              </w:rPr>
              <w:t>35</w:t>
            </w:r>
            <w:r w:rsidRPr="007B15B3">
              <w:rPr>
                <w:rFonts w:ascii="Times New Roman" w:eastAsia="仿宋_GB2312" w:hAnsi="Times New Roman" w:cs="Times New Roman" w:hint="eastAsia"/>
                <w:color w:val="000000"/>
                <w:kern w:val="0"/>
                <w:sz w:val="24"/>
                <w:szCs w:val="21"/>
              </w:rPr>
              <w:t>岁以下，具有软件工程、软件项目开发和组织经历者、海外博士毕业生优先</w:t>
            </w:r>
          </w:p>
        </w:tc>
      </w:tr>
      <w:tr w:rsidR="007B15B3" w:rsidRPr="007B15B3" w:rsidTr="007B15B3">
        <w:trPr>
          <w:trHeight w:val="547"/>
          <w:jc w:val="center"/>
        </w:trPr>
        <w:tc>
          <w:tcPr>
            <w:tcW w:w="814" w:type="dxa"/>
            <w:vMerge/>
            <w:tcBorders>
              <w:top w:val="single" w:sz="4" w:space="0" w:color="auto"/>
              <w:left w:val="single" w:sz="4" w:space="0" w:color="auto"/>
              <w:bottom w:val="single" w:sz="4" w:space="0" w:color="auto"/>
              <w:right w:val="single" w:sz="4" w:space="0" w:color="auto"/>
            </w:tcBorders>
            <w:vAlign w:val="center"/>
            <w:hideMark/>
          </w:tcPr>
          <w:p w:rsidR="007B15B3" w:rsidRPr="007B15B3" w:rsidRDefault="007B15B3" w:rsidP="007B15B3">
            <w:pPr>
              <w:widowControl/>
              <w:jc w:val="left"/>
              <w:rPr>
                <w:rFonts w:ascii="宋体" w:eastAsia="宋体" w:hAnsi="宋体" w:cs="宋体"/>
                <w:color w:val="000080"/>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napToGrid w:val="0"/>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N-2</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napToGrid w:val="0"/>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统计学或概率论与数理统计</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napToGrid w:val="0"/>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风险管理与精算、统计模型或数理统计等</w:t>
            </w:r>
          </w:p>
        </w:tc>
        <w:tc>
          <w:tcPr>
            <w:tcW w:w="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napToGrid w:val="0"/>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博士研究生</w:t>
            </w:r>
          </w:p>
        </w:tc>
        <w:tc>
          <w:tcPr>
            <w:tcW w:w="3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napToGrid w:val="0"/>
              <w:spacing w:line="260" w:lineRule="exact"/>
              <w:jc w:val="left"/>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年龄</w:t>
            </w:r>
            <w:r w:rsidRPr="007B15B3">
              <w:rPr>
                <w:rFonts w:ascii="Times New Roman" w:eastAsia="仿宋_GB2312" w:hAnsi="Times New Roman" w:cs="Times New Roman" w:hint="eastAsia"/>
                <w:color w:val="000000"/>
                <w:kern w:val="0"/>
                <w:sz w:val="24"/>
                <w:szCs w:val="21"/>
              </w:rPr>
              <w:t>35</w:t>
            </w:r>
            <w:r w:rsidRPr="007B15B3">
              <w:rPr>
                <w:rFonts w:ascii="Times New Roman" w:eastAsia="仿宋_GB2312" w:hAnsi="Times New Roman" w:cs="Times New Roman" w:hint="eastAsia"/>
                <w:color w:val="000000"/>
                <w:kern w:val="0"/>
                <w:sz w:val="24"/>
                <w:szCs w:val="21"/>
              </w:rPr>
              <w:t>岁以下，具有知名金融保险行业实习经历或海外留学经历者、能承担双语教学者、海外博士毕业生优先</w:t>
            </w:r>
          </w:p>
        </w:tc>
      </w:tr>
      <w:tr w:rsidR="007B15B3" w:rsidRPr="007B15B3" w:rsidTr="007B15B3">
        <w:trPr>
          <w:trHeight w:val="547"/>
          <w:jc w:val="center"/>
        </w:trPr>
        <w:tc>
          <w:tcPr>
            <w:tcW w:w="814" w:type="dxa"/>
            <w:vMerge/>
            <w:tcBorders>
              <w:top w:val="single" w:sz="4" w:space="0" w:color="auto"/>
              <w:left w:val="single" w:sz="4" w:space="0" w:color="auto"/>
              <w:bottom w:val="single" w:sz="4" w:space="0" w:color="auto"/>
              <w:right w:val="single" w:sz="4" w:space="0" w:color="auto"/>
            </w:tcBorders>
            <w:vAlign w:val="center"/>
            <w:hideMark/>
          </w:tcPr>
          <w:p w:rsidR="007B15B3" w:rsidRPr="007B15B3" w:rsidRDefault="007B15B3" w:rsidP="007B15B3">
            <w:pPr>
              <w:widowControl/>
              <w:jc w:val="left"/>
              <w:rPr>
                <w:rFonts w:ascii="宋体" w:eastAsia="宋体" w:hAnsi="宋体" w:cs="宋体"/>
                <w:color w:val="000080"/>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napToGrid w:val="0"/>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N-3</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统计学或计算机应用技术</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应用数理统计、数据挖掘等</w:t>
            </w:r>
          </w:p>
        </w:tc>
        <w:tc>
          <w:tcPr>
            <w:tcW w:w="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博士研究生</w:t>
            </w:r>
          </w:p>
        </w:tc>
        <w:tc>
          <w:tcPr>
            <w:tcW w:w="3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napToGrid w:val="0"/>
              <w:spacing w:line="260" w:lineRule="exact"/>
              <w:jc w:val="left"/>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年龄</w:t>
            </w:r>
            <w:r w:rsidRPr="007B15B3">
              <w:rPr>
                <w:rFonts w:ascii="Times New Roman" w:eastAsia="仿宋_GB2312" w:hAnsi="Times New Roman" w:cs="Times New Roman" w:hint="eastAsia"/>
                <w:color w:val="000000"/>
                <w:kern w:val="0"/>
                <w:sz w:val="24"/>
                <w:szCs w:val="21"/>
              </w:rPr>
              <w:t>35</w:t>
            </w:r>
            <w:r w:rsidRPr="007B15B3">
              <w:rPr>
                <w:rFonts w:ascii="Times New Roman" w:eastAsia="仿宋_GB2312" w:hAnsi="Times New Roman" w:cs="Times New Roman" w:hint="eastAsia"/>
                <w:color w:val="000000"/>
                <w:kern w:val="0"/>
                <w:sz w:val="24"/>
                <w:szCs w:val="21"/>
              </w:rPr>
              <w:t>岁以下，具有数据分析或相关课题研究经历或海外博士毕业生优先</w:t>
            </w:r>
          </w:p>
        </w:tc>
      </w:tr>
      <w:tr w:rsidR="007B15B3" w:rsidRPr="007B15B3" w:rsidTr="007B15B3">
        <w:trPr>
          <w:trHeight w:val="547"/>
          <w:jc w:val="center"/>
        </w:trPr>
        <w:tc>
          <w:tcPr>
            <w:tcW w:w="814" w:type="dxa"/>
            <w:vMerge/>
            <w:tcBorders>
              <w:top w:val="single" w:sz="4" w:space="0" w:color="auto"/>
              <w:left w:val="single" w:sz="4" w:space="0" w:color="auto"/>
              <w:bottom w:val="single" w:sz="4" w:space="0" w:color="auto"/>
              <w:right w:val="single" w:sz="4" w:space="0" w:color="auto"/>
            </w:tcBorders>
            <w:vAlign w:val="center"/>
            <w:hideMark/>
          </w:tcPr>
          <w:p w:rsidR="007B15B3" w:rsidRPr="007B15B3" w:rsidRDefault="007B15B3" w:rsidP="007B15B3">
            <w:pPr>
              <w:widowControl/>
              <w:jc w:val="left"/>
              <w:rPr>
                <w:rFonts w:ascii="宋体" w:eastAsia="宋体" w:hAnsi="宋体" w:cs="宋体"/>
                <w:color w:val="000080"/>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napToGrid w:val="0"/>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N-4</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金融数学、金融工程、概率与数理统计或应用数学</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金融数学、金融风险管理或统计大样本理论等</w:t>
            </w:r>
          </w:p>
        </w:tc>
        <w:tc>
          <w:tcPr>
            <w:tcW w:w="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pacing w:line="260" w:lineRule="exact"/>
              <w:jc w:val="center"/>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博士研究生</w:t>
            </w:r>
          </w:p>
        </w:tc>
        <w:tc>
          <w:tcPr>
            <w:tcW w:w="3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B3" w:rsidRPr="007B15B3" w:rsidRDefault="007B15B3" w:rsidP="007B15B3">
            <w:pPr>
              <w:widowControl/>
              <w:snapToGrid w:val="0"/>
              <w:spacing w:line="260" w:lineRule="exact"/>
              <w:jc w:val="left"/>
              <w:rPr>
                <w:rFonts w:ascii="宋体" w:eastAsia="宋体" w:hAnsi="宋体" w:cs="宋体"/>
                <w:color w:val="000080"/>
                <w:kern w:val="0"/>
                <w:sz w:val="24"/>
                <w:szCs w:val="24"/>
              </w:rPr>
            </w:pPr>
            <w:r w:rsidRPr="007B15B3">
              <w:rPr>
                <w:rFonts w:ascii="Times New Roman" w:eastAsia="仿宋_GB2312" w:hAnsi="Times New Roman" w:cs="Times New Roman" w:hint="eastAsia"/>
                <w:color w:val="000000"/>
                <w:kern w:val="0"/>
                <w:sz w:val="24"/>
                <w:szCs w:val="21"/>
              </w:rPr>
              <w:t>年龄</w:t>
            </w:r>
            <w:r w:rsidRPr="007B15B3">
              <w:rPr>
                <w:rFonts w:ascii="Times New Roman" w:eastAsia="仿宋_GB2312" w:hAnsi="Times New Roman" w:cs="Times New Roman" w:hint="eastAsia"/>
                <w:color w:val="000000"/>
                <w:kern w:val="0"/>
                <w:sz w:val="24"/>
                <w:szCs w:val="21"/>
              </w:rPr>
              <w:t>35</w:t>
            </w:r>
            <w:r w:rsidRPr="007B15B3">
              <w:rPr>
                <w:rFonts w:ascii="Times New Roman" w:eastAsia="仿宋_GB2312" w:hAnsi="Times New Roman" w:cs="Times New Roman" w:hint="eastAsia"/>
                <w:color w:val="000000"/>
                <w:kern w:val="0"/>
                <w:sz w:val="24"/>
                <w:szCs w:val="21"/>
              </w:rPr>
              <w:t>岁以下，具有精算师资格或精算理论基础者、能承担双语教学、海外博士毕业生优先</w:t>
            </w:r>
          </w:p>
        </w:tc>
      </w:tr>
    </w:tbl>
    <w:p w:rsidR="00D520D9" w:rsidRDefault="007B15B3" w:rsidP="008B70DF">
      <w:pPr>
        <w:widowControl/>
        <w:jc w:val="center"/>
      </w:pPr>
      <w:r w:rsidRPr="007B15B3">
        <w:rPr>
          <w:rFonts w:ascii="微软雅黑" w:eastAsia="微软雅黑" w:hAnsi="微软雅黑" w:cs="宋体" w:hint="eastAsia"/>
          <w:color w:val="000080"/>
          <w:kern w:val="0"/>
          <w:szCs w:val="21"/>
        </w:rPr>
        <w:t>联系人：胡桂武   020-84096159  15915931885 （</w:t>
      </w:r>
      <w:hyperlink r:id="rId6" w:tgtFrame="_blank" w:history="1">
        <w:r w:rsidRPr="007B15B3">
          <w:rPr>
            <w:rFonts w:ascii="微软雅黑" w:eastAsia="微软雅黑" w:hAnsi="微软雅黑" w:cs="宋体" w:hint="eastAsia"/>
            <w:color w:val="0000FF"/>
            <w:kern w:val="0"/>
            <w:u w:val="single"/>
          </w:rPr>
          <w:t>guiwuhugz@163.com</w:t>
        </w:r>
      </w:hyperlink>
      <w:r w:rsidRPr="007B15B3">
        <w:rPr>
          <w:rFonts w:ascii="微软雅黑" w:eastAsia="微软雅黑" w:hAnsi="微软雅黑" w:cs="宋体" w:hint="eastAsia"/>
          <w:color w:val="000080"/>
          <w:kern w:val="0"/>
          <w:szCs w:val="21"/>
        </w:rPr>
        <w:t> </w:t>
      </w:r>
      <w:r>
        <w:rPr>
          <w:rFonts w:ascii="微软雅黑" w:eastAsia="微软雅黑" w:hAnsi="微软雅黑" w:cs="宋体" w:hint="eastAsia"/>
          <w:color w:val="000080"/>
          <w:kern w:val="0"/>
          <w:szCs w:val="21"/>
        </w:rPr>
        <w:t>，</w:t>
      </w:r>
      <w:r w:rsidRPr="007B15B3">
        <w:rPr>
          <w:rFonts w:ascii="微软雅黑" w:eastAsia="微软雅黑" w:hAnsi="微软雅黑" w:cs="宋体" w:hint="eastAsia"/>
          <w:color w:val="000080"/>
          <w:kern w:val="0"/>
          <w:szCs w:val="21"/>
        </w:rPr>
        <w:t> </w:t>
      </w:r>
      <w:r w:rsidRPr="00A07645">
        <w:rPr>
          <w:rFonts w:ascii="微软雅黑" w:eastAsia="微软雅黑" w:hAnsi="微软雅黑" w:cs="宋体" w:hint="eastAsia"/>
          <w:color w:val="0000FF"/>
          <w:kern w:val="0"/>
          <w:u w:val="single"/>
        </w:rPr>
        <w:t xml:space="preserve"> </w:t>
      </w:r>
      <w:hyperlink r:id="rId7" w:tgtFrame="_blank" w:history="1">
        <w:r w:rsidRPr="00A07645">
          <w:rPr>
            <w:rFonts w:ascii="微软雅黑" w:eastAsia="微软雅黑" w:hAnsi="微软雅黑" w:cs="宋体"/>
            <w:color w:val="0000FF"/>
            <w:kern w:val="0"/>
            <w:u w:val="single"/>
          </w:rPr>
          <w:t>guiwuhu@gdufe.edu.cn</w:t>
        </w:r>
      </w:hyperlink>
      <w:r w:rsidRPr="007B15B3">
        <w:rPr>
          <w:rFonts w:ascii="微软雅黑" w:eastAsia="微软雅黑" w:hAnsi="微软雅黑" w:cs="宋体" w:hint="eastAsia"/>
          <w:color w:val="000080"/>
          <w:kern w:val="0"/>
          <w:szCs w:val="21"/>
        </w:rPr>
        <w:t>） </w:t>
      </w:r>
    </w:p>
    <w:p w:rsidR="00D520D9" w:rsidRDefault="00D520D9"/>
    <w:p w:rsidR="00D520D9" w:rsidRDefault="00D520D9"/>
    <w:p w:rsidR="00D520D9" w:rsidRDefault="00D520D9"/>
    <w:sectPr w:rsidR="00D520D9" w:rsidSect="00ED50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0E2" w:rsidRDefault="000C10E2" w:rsidP="00D520D9">
      <w:r>
        <w:separator/>
      </w:r>
    </w:p>
  </w:endnote>
  <w:endnote w:type="continuationSeparator" w:id="1">
    <w:p w:rsidR="000C10E2" w:rsidRDefault="000C10E2" w:rsidP="00D520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0E2" w:rsidRDefault="000C10E2" w:rsidP="00D520D9">
      <w:r>
        <w:separator/>
      </w:r>
    </w:p>
  </w:footnote>
  <w:footnote w:type="continuationSeparator" w:id="1">
    <w:p w:rsidR="000C10E2" w:rsidRDefault="000C10E2" w:rsidP="00D520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20D9"/>
    <w:rsid w:val="000C10E2"/>
    <w:rsid w:val="004E5199"/>
    <w:rsid w:val="005C4879"/>
    <w:rsid w:val="007B15B3"/>
    <w:rsid w:val="008B70DF"/>
    <w:rsid w:val="00A07645"/>
    <w:rsid w:val="00BC0299"/>
    <w:rsid w:val="00D16784"/>
    <w:rsid w:val="00D520D9"/>
    <w:rsid w:val="00ED50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B2"/>
    <w:pPr>
      <w:widowControl w:val="0"/>
      <w:jc w:val="both"/>
    </w:pPr>
  </w:style>
  <w:style w:type="paragraph" w:styleId="3">
    <w:name w:val="heading 3"/>
    <w:basedOn w:val="a"/>
    <w:link w:val="3Char"/>
    <w:uiPriority w:val="9"/>
    <w:qFormat/>
    <w:rsid w:val="008B70D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20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20D9"/>
    <w:rPr>
      <w:sz w:val="18"/>
      <w:szCs w:val="18"/>
    </w:rPr>
  </w:style>
  <w:style w:type="paragraph" w:styleId="a4">
    <w:name w:val="footer"/>
    <w:basedOn w:val="a"/>
    <w:link w:val="Char0"/>
    <w:uiPriority w:val="99"/>
    <w:semiHidden/>
    <w:unhideWhenUsed/>
    <w:rsid w:val="00D520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20D9"/>
    <w:rPr>
      <w:sz w:val="18"/>
      <w:szCs w:val="18"/>
    </w:rPr>
  </w:style>
  <w:style w:type="character" w:styleId="a5">
    <w:name w:val="Hyperlink"/>
    <w:basedOn w:val="a0"/>
    <w:uiPriority w:val="99"/>
    <w:semiHidden/>
    <w:unhideWhenUsed/>
    <w:rsid w:val="007B15B3"/>
    <w:rPr>
      <w:color w:val="0000FF"/>
      <w:u w:val="single"/>
    </w:rPr>
  </w:style>
  <w:style w:type="character" w:customStyle="1" w:styleId="3Char">
    <w:name w:val="标题 3 Char"/>
    <w:basedOn w:val="a0"/>
    <w:link w:val="3"/>
    <w:uiPriority w:val="9"/>
    <w:rsid w:val="008B70DF"/>
    <w:rPr>
      <w:rFonts w:ascii="宋体" w:eastAsia="宋体" w:hAnsi="宋体" w:cs="宋体"/>
      <w:b/>
      <w:bCs/>
      <w:kern w:val="0"/>
      <w:sz w:val="27"/>
      <w:szCs w:val="27"/>
    </w:rPr>
  </w:style>
  <w:style w:type="paragraph" w:styleId="a6">
    <w:name w:val="Normal (Web)"/>
    <w:basedOn w:val="a"/>
    <w:uiPriority w:val="99"/>
    <w:semiHidden/>
    <w:unhideWhenUsed/>
    <w:rsid w:val="008B70D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09677385">
      <w:bodyDiv w:val="1"/>
      <w:marLeft w:val="0"/>
      <w:marRight w:val="0"/>
      <w:marTop w:val="0"/>
      <w:marBottom w:val="0"/>
      <w:divBdr>
        <w:top w:val="none" w:sz="0" w:space="0" w:color="auto"/>
        <w:left w:val="none" w:sz="0" w:space="0" w:color="auto"/>
        <w:bottom w:val="none" w:sz="0" w:space="0" w:color="auto"/>
        <w:right w:val="none" w:sz="0" w:space="0" w:color="auto"/>
      </w:divBdr>
      <w:divsChild>
        <w:div w:id="796413798">
          <w:marLeft w:val="0"/>
          <w:marRight w:val="0"/>
          <w:marTop w:val="0"/>
          <w:marBottom w:val="0"/>
          <w:divBdr>
            <w:top w:val="none" w:sz="0" w:space="0" w:color="auto"/>
            <w:left w:val="none" w:sz="0" w:space="0" w:color="auto"/>
            <w:bottom w:val="none" w:sz="0" w:space="0" w:color="auto"/>
            <w:right w:val="none" w:sz="0" w:space="0" w:color="auto"/>
          </w:divBdr>
          <w:divsChild>
            <w:div w:id="1738436547">
              <w:marLeft w:val="0"/>
              <w:marRight w:val="0"/>
              <w:marTop w:val="0"/>
              <w:marBottom w:val="0"/>
              <w:divBdr>
                <w:top w:val="none" w:sz="0" w:space="0" w:color="auto"/>
                <w:left w:val="none" w:sz="0" w:space="0" w:color="auto"/>
                <w:bottom w:val="none" w:sz="0" w:space="0" w:color="auto"/>
                <w:right w:val="none" w:sz="0" w:space="0" w:color="auto"/>
              </w:divBdr>
              <w:divsChild>
                <w:div w:id="1243026586">
                  <w:marLeft w:val="0"/>
                  <w:marRight w:val="0"/>
                  <w:marTop w:val="0"/>
                  <w:marBottom w:val="0"/>
                  <w:divBdr>
                    <w:top w:val="none" w:sz="0" w:space="0" w:color="auto"/>
                    <w:left w:val="none" w:sz="0" w:space="0" w:color="auto"/>
                    <w:bottom w:val="none" w:sz="0" w:space="0" w:color="auto"/>
                    <w:right w:val="none" w:sz="0" w:space="0" w:color="auto"/>
                  </w:divBdr>
                  <w:divsChild>
                    <w:div w:id="2042241692">
                      <w:marLeft w:val="0"/>
                      <w:marRight w:val="0"/>
                      <w:marTop w:val="0"/>
                      <w:marBottom w:val="0"/>
                      <w:divBdr>
                        <w:top w:val="none" w:sz="0" w:space="0" w:color="auto"/>
                        <w:left w:val="none" w:sz="0" w:space="0" w:color="auto"/>
                        <w:bottom w:val="none" w:sz="0" w:space="0" w:color="auto"/>
                        <w:right w:val="none" w:sz="0" w:space="0" w:color="auto"/>
                      </w:divBdr>
                      <w:divsChild>
                        <w:div w:id="298653437">
                          <w:marLeft w:val="0"/>
                          <w:marRight w:val="0"/>
                          <w:marTop w:val="0"/>
                          <w:marBottom w:val="0"/>
                          <w:divBdr>
                            <w:top w:val="none" w:sz="0" w:space="0" w:color="auto"/>
                            <w:left w:val="none" w:sz="0" w:space="0" w:color="auto"/>
                            <w:bottom w:val="none" w:sz="0" w:space="0" w:color="auto"/>
                            <w:right w:val="none" w:sz="0" w:space="0" w:color="auto"/>
                          </w:divBdr>
                          <w:divsChild>
                            <w:div w:id="8777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704147">
      <w:bodyDiv w:val="1"/>
      <w:marLeft w:val="0"/>
      <w:marRight w:val="0"/>
      <w:marTop w:val="0"/>
      <w:marBottom w:val="0"/>
      <w:divBdr>
        <w:top w:val="none" w:sz="0" w:space="0" w:color="auto"/>
        <w:left w:val="none" w:sz="0" w:space="0" w:color="auto"/>
        <w:bottom w:val="none" w:sz="0" w:space="0" w:color="auto"/>
        <w:right w:val="none" w:sz="0" w:space="0" w:color="auto"/>
      </w:divBdr>
      <w:divsChild>
        <w:div w:id="311180437">
          <w:marLeft w:val="0"/>
          <w:marRight w:val="0"/>
          <w:marTop w:val="0"/>
          <w:marBottom w:val="0"/>
          <w:divBdr>
            <w:top w:val="none" w:sz="0" w:space="0" w:color="auto"/>
            <w:left w:val="none" w:sz="0" w:space="0" w:color="auto"/>
            <w:bottom w:val="none" w:sz="0" w:space="0" w:color="auto"/>
            <w:right w:val="none" w:sz="0" w:space="0" w:color="auto"/>
          </w:divBdr>
        </w:div>
        <w:div w:id="741754343">
          <w:marLeft w:val="0"/>
          <w:marRight w:val="0"/>
          <w:marTop w:val="0"/>
          <w:marBottom w:val="0"/>
          <w:divBdr>
            <w:top w:val="none" w:sz="0" w:space="0" w:color="auto"/>
            <w:left w:val="none" w:sz="0" w:space="0" w:color="auto"/>
            <w:bottom w:val="none" w:sz="0" w:space="0" w:color="auto"/>
            <w:right w:val="none" w:sz="0" w:space="0" w:color="auto"/>
          </w:divBdr>
        </w:div>
        <w:div w:id="1132593843">
          <w:marLeft w:val="0"/>
          <w:marRight w:val="0"/>
          <w:marTop w:val="0"/>
          <w:marBottom w:val="0"/>
          <w:divBdr>
            <w:top w:val="none" w:sz="0" w:space="0" w:color="auto"/>
            <w:left w:val="none" w:sz="0" w:space="0" w:color="auto"/>
            <w:bottom w:val="none" w:sz="0" w:space="0" w:color="auto"/>
            <w:right w:val="none" w:sz="0" w:space="0" w:color="auto"/>
          </w:divBdr>
        </w:div>
        <w:div w:id="315456927">
          <w:marLeft w:val="0"/>
          <w:marRight w:val="0"/>
          <w:marTop w:val="0"/>
          <w:marBottom w:val="0"/>
          <w:divBdr>
            <w:top w:val="none" w:sz="0" w:space="0" w:color="auto"/>
            <w:left w:val="none" w:sz="0" w:space="0" w:color="auto"/>
            <w:bottom w:val="none" w:sz="0" w:space="0" w:color="auto"/>
            <w:right w:val="none" w:sz="0" w:space="0" w:color="auto"/>
          </w:divBdr>
        </w:div>
        <w:div w:id="1740470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uiwuhu@gdufe.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iwuhugz@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20</cp:revision>
  <dcterms:created xsi:type="dcterms:W3CDTF">2014-04-04T12:57:00Z</dcterms:created>
  <dcterms:modified xsi:type="dcterms:W3CDTF">2014-05-13T01:12:00Z</dcterms:modified>
</cp:coreProperties>
</file>